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AA" w:rsidRPr="006C1002" w:rsidRDefault="00CD04AA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Заключение</w:t>
      </w:r>
    </w:p>
    <w:p w:rsidR="00CD04AA" w:rsidRPr="006C1002" w:rsidRDefault="00CD04AA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Контрольно-счётной палаты Дубровского района</w:t>
      </w:r>
    </w:p>
    <w:p w:rsidR="00CD04AA" w:rsidRPr="006C1002" w:rsidRDefault="00CD04AA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CD04AA" w:rsidRPr="006C1002" w:rsidRDefault="00CD04AA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Сергеевское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CD04AA" w:rsidRDefault="00CD04AA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за 1 квартал 201</w:t>
      </w:r>
      <w:r>
        <w:rPr>
          <w:rFonts w:ascii="Times New Roman" w:hAnsi="Times New Roman"/>
          <w:b/>
          <w:sz w:val="28"/>
          <w:szCs w:val="28"/>
        </w:rPr>
        <w:t>8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D04AA" w:rsidRDefault="00CD04AA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4AA" w:rsidRDefault="00CD04AA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4AA" w:rsidRDefault="00CD04AA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Дубровка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25.04.2018</w:t>
      </w:r>
    </w:p>
    <w:p w:rsidR="00CD04AA" w:rsidRDefault="00CD04AA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D04AA" w:rsidRDefault="00CD04AA" w:rsidP="006C1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«Сергеевское сельское поселение» за 1 квартал 2018 года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2.8. Плана работ Контрольно-счётной палаты Дубровского района на 2018 год.</w:t>
      </w:r>
    </w:p>
    <w:p w:rsidR="00CD04AA" w:rsidRDefault="00CD04AA" w:rsidP="006C1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оформлено по результатам оперативного анализа и контроля за организацией исполнения   бюджета Сергеевского сельского поселения в 2018 году, отчетности об исполнении бюджета за 1 квартал 2018 года.</w:t>
      </w:r>
    </w:p>
    <w:p w:rsidR="00CD04AA" w:rsidRPr="00A833F5" w:rsidRDefault="00CD04AA" w:rsidP="006C1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3F5">
        <w:rPr>
          <w:rFonts w:ascii="Times New Roman" w:hAnsi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/>
          <w:sz w:val="28"/>
          <w:szCs w:val="28"/>
        </w:rPr>
        <w:t>,</w:t>
      </w:r>
      <w:r w:rsidRPr="00A833F5">
        <w:rPr>
          <w:rFonts w:ascii="Times New Roman" w:hAnsi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CD04AA" w:rsidRDefault="00CD04AA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2018 год первоначально утверждены решением Сергеевского сельского Совета народных депутатов </w:t>
      </w:r>
      <w:r w:rsidRPr="004604BF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Pr="004604B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21 «О бюджете муниципального образования «Сергеевское сельское поселение» на 2018 год и плановый период 2019 и 2020 годов», по доходам в объеме 821,0 тыс. рублей, по расходам – 821,0 тыс. рублей, сбалансированным.</w:t>
      </w:r>
    </w:p>
    <w:p w:rsidR="00CD04AA" w:rsidRDefault="00CD04AA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Pr="00914EB2">
        <w:rPr>
          <w:rFonts w:ascii="Times New Roman" w:hAnsi="Times New Roman"/>
          <w:sz w:val="28"/>
          <w:szCs w:val="28"/>
        </w:rPr>
        <w:t>1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 объем  дефицита не изменялся.</w:t>
      </w:r>
    </w:p>
    <w:p w:rsidR="00CD04AA" w:rsidRDefault="00CD04AA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2018 год утвержден по доходам в объеме 875,0 тыс. рублей, по расходам в объеме 875,0 тыс. рублей, дефицит бюджета  утвержден в сумме 0 рублей.</w:t>
      </w:r>
    </w:p>
    <w:p w:rsidR="00CD04AA" w:rsidRDefault="00CD04AA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B058F">
        <w:rPr>
          <w:rFonts w:ascii="Times New Roman" w:hAnsi="Times New Roman"/>
          <w:sz w:val="28"/>
          <w:szCs w:val="28"/>
        </w:rPr>
        <w:t>Доходна</w:t>
      </w:r>
      <w:r>
        <w:rPr>
          <w:rFonts w:ascii="Times New Roman" w:hAnsi="Times New Roman"/>
          <w:sz w:val="28"/>
          <w:szCs w:val="28"/>
        </w:rPr>
        <w:t xml:space="preserve">я часть бюджета за 1 квартал 2018 года исполнена в сумме 196,7 тыс. рублей, или на 22,5% к утвержденным годовым назначениям. По сравнению  с соответствующим уровнем прошлого года доходы снизились на 164,8 тыс. рублей, или на 45,6 процента. В структуре доходов бюджета удельный вес собственных доходов составил 6,9%, что ниже соответствующего периода прошлого года на 1,8 процентного пункта. На долю безвозмездный поступлений приходится 93,1 процента. </w:t>
      </w:r>
    </w:p>
    <w:p w:rsidR="00CD04AA" w:rsidRDefault="00CD04AA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361"/>
        <w:gridCol w:w="1332"/>
        <w:gridCol w:w="1418"/>
        <w:gridCol w:w="1417"/>
        <w:gridCol w:w="1382"/>
      </w:tblGrid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в 1 кв.</w:t>
            </w:r>
          </w:p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32" w:type="dxa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на 2018</w:t>
            </w:r>
          </w:p>
        </w:tc>
        <w:tc>
          <w:tcPr>
            <w:tcW w:w="1418" w:type="dxa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на 2018</w:t>
            </w:r>
          </w:p>
        </w:tc>
        <w:tc>
          <w:tcPr>
            <w:tcW w:w="1417" w:type="dxa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 xml:space="preserve">на 2018 </w:t>
            </w:r>
          </w:p>
        </w:tc>
        <w:tc>
          <w:tcPr>
            <w:tcW w:w="1382" w:type="dxa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в 1 кв. 2018</w:t>
            </w:r>
          </w:p>
        </w:tc>
      </w:tr>
      <w:tr w:rsidR="00CD04AA" w:rsidRPr="00AB1F9E" w:rsidTr="00AB1F9E">
        <w:tc>
          <w:tcPr>
            <w:tcW w:w="2660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31,6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258,0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31,6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258,0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1,2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0,9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7,6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9,1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0,3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22,7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244,0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244,0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244,0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3,2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329,9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563,0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183,2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315,1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499,0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529,0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529,0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8,1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7,2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307,0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470,0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160,0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9E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AB1F9E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о</w:t>
            </w: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14,8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F9E">
              <w:rPr>
                <w:rFonts w:ascii="Times New Roman" w:hAnsi="Times New Roman"/>
                <w:i/>
                <w:sz w:val="24"/>
                <w:szCs w:val="24"/>
              </w:rPr>
              <w:t>16,0</w:t>
            </w:r>
          </w:p>
        </w:tc>
      </w:tr>
      <w:tr w:rsidR="00CD04AA" w:rsidRPr="00AB1F9E" w:rsidTr="00AB1F9E">
        <w:tc>
          <w:tcPr>
            <w:tcW w:w="2660" w:type="dxa"/>
          </w:tcPr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CD04AA" w:rsidRPr="00AB1F9E" w:rsidRDefault="00CD04AA" w:rsidP="00AB1F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361,5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821,0</w:t>
            </w:r>
          </w:p>
        </w:tc>
        <w:tc>
          <w:tcPr>
            <w:tcW w:w="1418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875,0</w:t>
            </w:r>
          </w:p>
        </w:tc>
        <w:tc>
          <w:tcPr>
            <w:tcW w:w="1417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875,0</w:t>
            </w:r>
          </w:p>
        </w:tc>
        <w:tc>
          <w:tcPr>
            <w:tcW w:w="1382" w:type="dxa"/>
            <w:vAlign w:val="center"/>
          </w:tcPr>
          <w:p w:rsidR="00CD04AA" w:rsidRPr="00AB1F9E" w:rsidRDefault="00CD04AA" w:rsidP="00A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9E">
              <w:rPr>
                <w:rFonts w:ascii="Times New Roman" w:hAnsi="Times New Roman"/>
                <w:b/>
                <w:sz w:val="24"/>
                <w:szCs w:val="24"/>
              </w:rPr>
              <w:t>196,7</w:t>
            </w:r>
          </w:p>
        </w:tc>
      </w:tr>
    </w:tbl>
    <w:p w:rsidR="00CD04AA" w:rsidRDefault="00CD04AA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 сложилось в сумме 13,5 тыс. рублей, или 5,1% к утвержденному годовому плану.</w:t>
      </w:r>
    </w:p>
    <w:p w:rsidR="00CD04AA" w:rsidRDefault="00CD04AA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0,9 тыс. рублей, годовые плановые назначения исполнены на 12,9 процента. К соответствующему периоду 2017 года НДФЛ снизился на 25,0 процента.</w:t>
      </w:r>
    </w:p>
    <w:p w:rsidR="00CD04AA" w:rsidRDefault="00CD04AA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9,1 тыс. рублей, что составляет 101,1 процента к годовому плану.</w:t>
      </w:r>
    </w:p>
    <w:p w:rsidR="00CD04AA" w:rsidRDefault="00CD04AA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3,2 тыс. рублей, или 1,3% годовых плановых назначений. Темп роста к аналогичному периоду прошлого года – 14,1 процента.</w:t>
      </w:r>
    </w:p>
    <w:p w:rsidR="00CD04AA" w:rsidRDefault="00CD04AA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1 квартале 2018 года поступил в бюджет в сумме 0,3 тыс. рублей. </w:t>
      </w:r>
    </w:p>
    <w:p w:rsidR="00CD04AA" w:rsidRDefault="00CD04AA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квартал 2018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183,2 тыс. рублей, или 30,1% утвержденных годовых назначений. По сравнению с аналогичным периодом 2017 года общий объем безвозмездных поступлений снизился на 44,5%  или на 146,7 тыс. рублей.</w:t>
      </w:r>
    </w:p>
    <w:p w:rsidR="00CD04AA" w:rsidRDefault="00CD04AA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167,2 тыс. рублей, или 31,6%  годового плана.</w:t>
      </w:r>
    </w:p>
    <w:p w:rsidR="00CD04AA" w:rsidRDefault="00CD04AA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7,2 тыс. рублей, или на 24,8% утвержденных годовых назначений. </w:t>
      </w:r>
    </w:p>
    <w:p w:rsidR="00CD04AA" w:rsidRDefault="00CD04AA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160,0 тыс. рублей, или на 32,0%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CD04AA" w:rsidRDefault="00CD04AA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16,0 тыс. рублей, что составило 25,0% плана. На осуществление первичного воинского учета направлено 16,0 тыс. рублей. </w:t>
      </w:r>
    </w:p>
    <w:p w:rsidR="00CD04AA" w:rsidRDefault="00CD04AA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за 1 квартал 2017 и 2018 годов представлены на диаграмме, тыс. рублей.</w:t>
      </w:r>
    </w:p>
    <w:p w:rsidR="00CD04AA" w:rsidRDefault="00CD04AA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F9E">
        <w:rPr>
          <w:rFonts w:ascii="Times New Roman" w:hAnsi="Times New Roman"/>
          <w:noProof/>
          <w:sz w:val="28"/>
          <w:szCs w:val="28"/>
          <w:lang w:eastAsia="ru-RU"/>
        </w:rPr>
        <w:object w:dxaOrig="8670" w:dyaOrig="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8pt;height:202.8pt;visibility:visible" o:ole="">
            <v:imagedata r:id="rId7" o:title=""/>
            <o:lock v:ext="edit" aspectratio="f"/>
          </v:shape>
          <o:OLEObject Type="Embed" ProgID="Excel.Chart.8" ShapeID="Диаграмма 1" DrawAspect="Content" ObjectID="_1592827576" r:id="rId8"/>
        </w:object>
      </w:r>
    </w:p>
    <w:p w:rsidR="00CD04AA" w:rsidRDefault="00CD04AA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 xml:space="preserve">бъем расходов, утвержденный решением о бюджете на 2018 год, составляет 875,0 тыс. рублей.  </w:t>
      </w:r>
    </w:p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1 квартал 2018 года осуществлялось по 3 разделам бюджетной классификации. Наибольший удельный вес в общем объеме расходов составили расходы по разделу: 01 «Общегосударственные расходы» - 92,8 процента. </w:t>
      </w:r>
    </w:p>
    <w:p w:rsidR="00CD04AA" w:rsidRDefault="00CD04AA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CD04AA" w:rsidRPr="00AB1F9E" w:rsidTr="00A7388E">
        <w:tc>
          <w:tcPr>
            <w:tcW w:w="2569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1 кв. 2017 г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2018 г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2018 г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2018 г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CD04AA" w:rsidRPr="00AB1F9E" w:rsidRDefault="00CD04AA" w:rsidP="00732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 кв.  2018 г</w:t>
            </w:r>
          </w:p>
        </w:tc>
      </w:tr>
      <w:tr w:rsidR="00CD04AA" w:rsidRPr="00AB1F9E" w:rsidTr="00A7388E">
        <w:tc>
          <w:tcPr>
            <w:tcW w:w="2569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CD04AA" w:rsidRPr="00AB1F9E" w:rsidRDefault="00CD04AA" w:rsidP="00C27282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243,9</w:t>
            </w:r>
          </w:p>
        </w:tc>
        <w:tc>
          <w:tcPr>
            <w:tcW w:w="1513" w:type="dxa"/>
            <w:vAlign w:val="center"/>
          </w:tcPr>
          <w:p w:rsidR="00CD04AA" w:rsidRPr="00AB1F9E" w:rsidRDefault="00CD04AA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731,4</w:t>
            </w:r>
          </w:p>
        </w:tc>
        <w:tc>
          <w:tcPr>
            <w:tcW w:w="1349" w:type="dxa"/>
            <w:vAlign w:val="center"/>
          </w:tcPr>
          <w:p w:rsidR="00CD04AA" w:rsidRPr="00AB1F9E" w:rsidRDefault="00CD04AA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770,4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770,4</w:t>
            </w:r>
          </w:p>
        </w:tc>
        <w:tc>
          <w:tcPr>
            <w:tcW w:w="1340" w:type="dxa"/>
            <w:vAlign w:val="center"/>
          </w:tcPr>
          <w:p w:rsidR="00CD04AA" w:rsidRPr="00AB1F9E" w:rsidRDefault="00CD04AA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172,2</w:t>
            </w:r>
          </w:p>
        </w:tc>
      </w:tr>
      <w:tr w:rsidR="00CD04AA" w:rsidRPr="00AB1F9E" w:rsidTr="00A7388E">
        <w:tc>
          <w:tcPr>
            <w:tcW w:w="2569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CD04AA" w:rsidRPr="00AB1F9E" w:rsidRDefault="00CD04AA" w:rsidP="00C27282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6,8</w:t>
            </w:r>
          </w:p>
        </w:tc>
        <w:tc>
          <w:tcPr>
            <w:tcW w:w="1513" w:type="dxa"/>
            <w:vAlign w:val="center"/>
          </w:tcPr>
          <w:p w:rsidR="00CD04AA" w:rsidRPr="00AB1F9E" w:rsidRDefault="00CD04AA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64,0</w:t>
            </w:r>
          </w:p>
        </w:tc>
        <w:tc>
          <w:tcPr>
            <w:tcW w:w="1349" w:type="dxa"/>
            <w:vAlign w:val="center"/>
          </w:tcPr>
          <w:p w:rsidR="00CD04AA" w:rsidRPr="00AB1F9E" w:rsidRDefault="00CD04AA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64,0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64,0</w:t>
            </w:r>
          </w:p>
        </w:tc>
        <w:tc>
          <w:tcPr>
            <w:tcW w:w="1340" w:type="dxa"/>
            <w:vAlign w:val="center"/>
          </w:tcPr>
          <w:p w:rsidR="00CD04AA" w:rsidRPr="00AB1F9E" w:rsidRDefault="00CD04AA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10,6</w:t>
            </w:r>
          </w:p>
        </w:tc>
      </w:tr>
      <w:tr w:rsidR="00CD04AA" w:rsidRPr="00AB1F9E" w:rsidTr="00A7388E">
        <w:tc>
          <w:tcPr>
            <w:tcW w:w="2569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CD04AA" w:rsidRPr="00AB1F9E" w:rsidRDefault="00CD04AA" w:rsidP="00C27282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CD04AA" w:rsidRPr="00AB1F9E" w:rsidRDefault="00CD04AA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CD04AA" w:rsidRPr="00AB1F9E" w:rsidRDefault="00CD04AA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1,0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1,0</w:t>
            </w:r>
          </w:p>
        </w:tc>
        <w:tc>
          <w:tcPr>
            <w:tcW w:w="1340" w:type="dxa"/>
            <w:vAlign w:val="center"/>
          </w:tcPr>
          <w:p w:rsidR="00CD04AA" w:rsidRPr="00AB1F9E" w:rsidRDefault="00CD04AA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0,0</w:t>
            </w:r>
          </w:p>
        </w:tc>
      </w:tr>
      <w:tr w:rsidR="00CD04AA" w:rsidRPr="00AB1F9E" w:rsidTr="00A7388E">
        <w:tc>
          <w:tcPr>
            <w:tcW w:w="2569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D04AA" w:rsidRPr="00AB1F9E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1F9E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CD04AA" w:rsidRDefault="00CD04AA" w:rsidP="00C272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92,8</w:t>
            </w:r>
          </w:p>
        </w:tc>
        <w:tc>
          <w:tcPr>
            <w:tcW w:w="1513" w:type="dxa"/>
            <w:vAlign w:val="center"/>
          </w:tcPr>
          <w:p w:rsidR="00CD04AA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49" w:type="dxa"/>
            <w:vAlign w:val="center"/>
          </w:tcPr>
          <w:p w:rsidR="00CD04AA" w:rsidRDefault="00CD04A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32" w:type="dxa"/>
            <w:vAlign w:val="center"/>
          </w:tcPr>
          <w:p w:rsidR="00CD04AA" w:rsidRDefault="00CD04AA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40" w:type="dxa"/>
            <w:vAlign w:val="center"/>
          </w:tcPr>
          <w:p w:rsidR="00CD04AA" w:rsidRDefault="00CD04AA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2,8</w:t>
            </w:r>
          </w:p>
        </w:tc>
      </w:tr>
      <w:tr w:rsidR="00CD04AA" w:rsidRPr="00AB1F9E" w:rsidTr="00A7388E">
        <w:tc>
          <w:tcPr>
            <w:tcW w:w="2569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B1F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1F9E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CD04AA" w:rsidRPr="00AB1F9E" w:rsidRDefault="00CD04AA" w:rsidP="00C27282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CD04AA" w:rsidRPr="00AB1F9E" w:rsidRDefault="00CD04AA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CD04AA" w:rsidRPr="00AB1F9E" w:rsidRDefault="00CD04AA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CD04AA" w:rsidRPr="00AB1F9E" w:rsidRDefault="00CD04AA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AB1F9E">
              <w:rPr>
                <w:rFonts w:ascii="Times New Roman" w:hAnsi="Times New Roman"/>
              </w:rPr>
              <w:t>0,0</w:t>
            </w:r>
          </w:p>
        </w:tc>
      </w:tr>
      <w:tr w:rsidR="00CD04AA" w:rsidRPr="00AB1F9E" w:rsidTr="00A7388E">
        <w:tc>
          <w:tcPr>
            <w:tcW w:w="2569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1F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CD04AA" w:rsidRPr="00AB1F9E" w:rsidRDefault="00CD04AA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CD04AA" w:rsidRPr="00AB1F9E" w:rsidRDefault="00CD04AA" w:rsidP="00C2728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F9E">
              <w:rPr>
                <w:rFonts w:ascii="Times New Roman" w:hAnsi="Times New Roman"/>
                <w:b/>
              </w:rPr>
              <w:t>343,5</w:t>
            </w:r>
          </w:p>
        </w:tc>
        <w:tc>
          <w:tcPr>
            <w:tcW w:w="1513" w:type="dxa"/>
            <w:vAlign w:val="center"/>
          </w:tcPr>
          <w:p w:rsidR="00CD04AA" w:rsidRPr="00AB1F9E" w:rsidRDefault="00CD04AA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F9E">
              <w:rPr>
                <w:rFonts w:ascii="Times New Roman" w:hAnsi="Times New Roman"/>
                <w:b/>
              </w:rPr>
              <w:t>821,0</w:t>
            </w:r>
          </w:p>
        </w:tc>
        <w:tc>
          <w:tcPr>
            <w:tcW w:w="1349" w:type="dxa"/>
            <w:vAlign w:val="center"/>
          </w:tcPr>
          <w:p w:rsidR="00CD04AA" w:rsidRPr="00AB1F9E" w:rsidRDefault="00CD04AA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F9E">
              <w:rPr>
                <w:rFonts w:ascii="Times New Roman" w:hAnsi="Times New Roman"/>
                <w:b/>
              </w:rPr>
              <w:t>875,0</w:t>
            </w:r>
          </w:p>
        </w:tc>
        <w:tc>
          <w:tcPr>
            <w:tcW w:w="1332" w:type="dxa"/>
            <w:vAlign w:val="center"/>
          </w:tcPr>
          <w:p w:rsidR="00CD04AA" w:rsidRPr="00AB1F9E" w:rsidRDefault="00CD04AA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F9E">
              <w:rPr>
                <w:rFonts w:ascii="Times New Roman" w:hAnsi="Times New Roman"/>
                <w:b/>
              </w:rPr>
              <w:t>875,0</w:t>
            </w:r>
          </w:p>
        </w:tc>
        <w:tc>
          <w:tcPr>
            <w:tcW w:w="1340" w:type="dxa"/>
            <w:vAlign w:val="center"/>
          </w:tcPr>
          <w:p w:rsidR="00CD04AA" w:rsidRPr="00AB1F9E" w:rsidRDefault="00CD04AA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1F9E">
              <w:rPr>
                <w:rFonts w:ascii="Times New Roman" w:hAnsi="Times New Roman"/>
                <w:b/>
              </w:rPr>
              <w:t>185,6</w:t>
            </w:r>
          </w:p>
        </w:tc>
      </w:tr>
    </w:tbl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CD04AA" w:rsidRDefault="00CD04AA" w:rsidP="0020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за 1 квартал 2017 и 2018 годов представлены на диаграмме, тыс. рублей.</w:t>
      </w:r>
    </w:p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F9E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2" o:spid="_x0000_i1026" type="#_x0000_t75" style="width:433.8pt;height:252.6pt;visibility:visible" o:ole="">
            <v:imagedata r:id="rId9" o:title=""/>
            <o:lock v:ext="edit" aspectratio="f"/>
          </v:shape>
          <o:OLEObject Type="Embed" ProgID="Excel.Chart.8" ShapeID="Диаграмма 2" DrawAspect="Content" ObjectID="_1592827577" r:id="rId10"/>
        </w:object>
      </w:r>
    </w:p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квартал 2018 года исполнены в сумме 172,2 тыс. рублей, или 22,3 к утвержденной  бюджетной росписи. Доля расходов по разделу в общей структуре расходов бюджета  составила 92,8 процента. По разделу отмечено снижение объема кассовых расходов к аналогичному периоду 2017 года на 29,4 процента. Средства направлены на обеспечение деятельности главы муниципального образования в сумме 66,9 тыс. рублей, на обеспечение деятельности центрального аппарата – 105,3 тыс. рублей. </w:t>
      </w:r>
    </w:p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квартал 2018 года сложились в сумме 10,6 тыс. рублей, или 16,6% к объему расходов, предусмотренных уточненной бюджетной росписью на год. Темп роста к аналогичному периоду 2017 года составил 155,9 процента. Структура раздела представлена одним подразделом - 02 03 «Мобилизационная и вневойсковая подготовка».</w:t>
      </w:r>
    </w:p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 1 квартале 2018 года не осуществлялись, расходы утверждены в сумме 1,0 тыс. рублей.</w:t>
      </w:r>
    </w:p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квартал 2018 года сложились в сумме 2,8 тыс. рублей, или 11,4%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CD04AA" w:rsidRDefault="00CD04AA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Pr="00A710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2018 год  утверждены в объеме 15,0 тыс. рублей. Исполнение расходов за 1 квартал не осуществлялось.</w:t>
      </w:r>
    </w:p>
    <w:p w:rsidR="00CD04AA" w:rsidRDefault="00CD04AA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2018 года,  бюджет исполнен с профицитом  в сумме 11,1 тыс. рублей.</w:t>
      </w:r>
    </w:p>
    <w:p w:rsidR="00CD04AA" w:rsidRDefault="00CD04AA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2018 года составляет  0 рублей, по состоянию на 1 апреля 2018 года 11,1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CD04AA" w:rsidRDefault="00CD04AA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D04AA" w:rsidRPr="000C0DF5" w:rsidRDefault="00CD04AA" w:rsidP="00A0123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27AF9">
        <w:rPr>
          <w:rFonts w:ascii="Times New Roman" w:hAnsi="Times New Roman"/>
          <w:b/>
          <w:sz w:val="28"/>
          <w:szCs w:val="28"/>
        </w:rPr>
        <w:t>Выводы</w:t>
      </w:r>
      <w:r w:rsidRPr="000C0DF5">
        <w:rPr>
          <w:rFonts w:ascii="Times New Roman" w:hAnsi="Times New Roman"/>
          <w:b/>
          <w:sz w:val="28"/>
          <w:szCs w:val="28"/>
        </w:rPr>
        <w:t>.</w:t>
      </w:r>
    </w:p>
    <w:p w:rsidR="00CD04AA" w:rsidRPr="00A833F5" w:rsidRDefault="00CD04AA" w:rsidP="001C0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3F5">
        <w:rPr>
          <w:rFonts w:ascii="Times New Roman" w:hAnsi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/>
          <w:sz w:val="28"/>
          <w:szCs w:val="28"/>
        </w:rPr>
        <w:t>,</w:t>
      </w:r>
      <w:r w:rsidRPr="00A833F5">
        <w:rPr>
          <w:rFonts w:ascii="Times New Roman" w:hAnsi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CD04AA" w:rsidRDefault="00CD04AA" w:rsidP="00427AF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4AA" w:rsidRPr="00F47F9A" w:rsidRDefault="00CD04AA" w:rsidP="00427AF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F9A"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04AA" w:rsidRDefault="00CD04AA" w:rsidP="000C0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0C0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дальнейшему развитию доходного потенциала бюджетной системы.</w:t>
      </w:r>
    </w:p>
    <w:p w:rsidR="00CD04AA" w:rsidRDefault="00CD04AA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председателя</w:t>
      </w:r>
    </w:p>
    <w:p w:rsidR="00CD04AA" w:rsidRDefault="00CD04AA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CD04AA" w:rsidRDefault="00CD04AA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Дубровского района                                                          Н.А. Дороденкова</w:t>
      </w:r>
    </w:p>
    <w:p w:rsidR="00CD04AA" w:rsidRDefault="00CD04AA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1 квартал 2018 года ознакомлены:</w:t>
      </w:r>
    </w:p>
    <w:p w:rsidR="00CD04AA" w:rsidRDefault="00CD04AA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CD04AA" w:rsidRDefault="00CD04AA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Сергеевской</w:t>
      </w:r>
    </w:p>
    <w:p w:rsidR="00CD04AA" w:rsidRDefault="00CD04AA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А.П. Ломаков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CD04AA" w:rsidRDefault="00CD04AA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CD04AA" w:rsidRDefault="00CD04AA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E26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 экземпляр заключения получен:</w:t>
      </w:r>
    </w:p>
    <w:p w:rsidR="00CD04AA" w:rsidRDefault="00CD04AA" w:rsidP="00E26D4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CD04AA" w:rsidRDefault="00CD04AA" w:rsidP="00E26D4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27.04.2018 года          подпись</w:t>
      </w:r>
    </w:p>
    <w:sectPr w:rsidR="00CD04AA" w:rsidSect="000F483F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AA" w:rsidRDefault="00CD04AA" w:rsidP="000F483F">
      <w:pPr>
        <w:spacing w:after="0" w:line="240" w:lineRule="auto"/>
      </w:pPr>
      <w:r>
        <w:separator/>
      </w:r>
    </w:p>
  </w:endnote>
  <w:endnote w:type="continuationSeparator" w:id="0">
    <w:p w:rsidR="00CD04AA" w:rsidRDefault="00CD04A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AA" w:rsidRDefault="00CD04AA" w:rsidP="000F483F">
      <w:pPr>
        <w:spacing w:after="0" w:line="240" w:lineRule="auto"/>
      </w:pPr>
      <w:r>
        <w:separator/>
      </w:r>
    </w:p>
  </w:footnote>
  <w:footnote w:type="continuationSeparator" w:id="0">
    <w:p w:rsidR="00CD04AA" w:rsidRDefault="00CD04A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AA" w:rsidRDefault="00CD04A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D04AA" w:rsidRDefault="00CD04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02"/>
    <w:rsid w:val="0000301B"/>
    <w:rsid w:val="00003848"/>
    <w:rsid w:val="00016EDC"/>
    <w:rsid w:val="000316BC"/>
    <w:rsid w:val="000360EC"/>
    <w:rsid w:val="00052D7E"/>
    <w:rsid w:val="00077400"/>
    <w:rsid w:val="00083AF6"/>
    <w:rsid w:val="0009474F"/>
    <w:rsid w:val="00094997"/>
    <w:rsid w:val="00095EB7"/>
    <w:rsid w:val="000C0DF5"/>
    <w:rsid w:val="000F0453"/>
    <w:rsid w:val="000F275B"/>
    <w:rsid w:val="000F483F"/>
    <w:rsid w:val="000F59CA"/>
    <w:rsid w:val="00103019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24E5"/>
    <w:rsid w:val="001B482B"/>
    <w:rsid w:val="001B48AD"/>
    <w:rsid w:val="001C031F"/>
    <w:rsid w:val="001C3666"/>
    <w:rsid w:val="001D2296"/>
    <w:rsid w:val="001E4698"/>
    <w:rsid w:val="001F7843"/>
    <w:rsid w:val="00201D36"/>
    <w:rsid w:val="002072A1"/>
    <w:rsid w:val="002134E8"/>
    <w:rsid w:val="0022366F"/>
    <w:rsid w:val="002238D7"/>
    <w:rsid w:val="00224149"/>
    <w:rsid w:val="00237D1B"/>
    <w:rsid w:val="00240DA6"/>
    <w:rsid w:val="00253B44"/>
    <w:rsid w:val="0026526F"/>
    <w:rsid w:val="00270C20"/>
    <w:rsid w:val="002A35C3"/>
    <w:rsid w:val="002A5963"/>
    <w:rsid w:val="002B6ACA"/>
    <w:rsid w:val="002C103B"/>
    <w:rsid w:val="002C3493"/>
    <w:rsid w:val="002D6F33"/>
    <w:rsid w:val="002F119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52D42"/>
    <w:rsid w:val="00353F01"/>
    <w:rsid w:val="00360883"/>
    <w:rsid w:val="00362656"/>
    <w:rsid w:val="00370E8C"/>
    <w:rsid w:val="00380792"/>
    <w:rsid w:val="00383632"/>
    <w:rsid w:val="0038426A"/>
    <w:rsid w:val="00391A8E"/>
    <w:rsid w:val="00395DCD"/>
    <w:rsid w:val="003E4D10"/>
    <w:rsid w:val="003F3C15"/>
    <w:rsid w:val="003F6066"/>
    <w:rsid w:val="00416668"/>
    <w:rsid w:val="00427AF9"/>
    <w:rsid w:val="00440503"/>
    <w:rsid w:val="00443635"/>
    <w:rsid w:val="004604BF"/>
    <w:rsid w:val="00466118"/>
    <w:rsid w:val="00466FD5"/>
    <w:rsid w:val="00476F89"/>
    <w:rsid w:val="00495ABA"/>
    <w:rsid w:val="004A4E95"/>
    <w:rsid w:val="004A5EE5"/>
    <w:rsid w:val="004A6761"/>
    <w:rsid w:val="004B5AC0"/>
    <w:rsid w:val="004B7D2E"/>
    <w:rsid w:val="004C6876"/>
    <w:rsid w:val="004F67B0"/>
    <w:rsid w:val="00503C69"/>
    <w:rsid w:val="00521D58"/>
    <w:rsid w:val="0052469C"/>
    <w:rsid w:val="00533E74"/>
    <w:rsid w:val="00540F7D"/>
    <w:rsid w:val="0054482B"/>
    <w:rsid w:val="0056121D"/>
    <w:rsid w:val="00577F2A"/>
    <w:rsid w:val="00583D99"/>
    <w:rsid w:val="005A5D76"/>
    <w:rsid w:val="005B04BB"/>
    <w:rsid w:val="005B058F"/>
    <w:rsid w:val="005B0B4F"/>
    <w:rsid w:val="005B59BC"/>
    <w:rsid w:val="005C1EB7"/>
    <w:rsid w:val="005C7750"/>
    <w:rsid w:val="005D384A"/>
    <w:rsid w:val="005F06E8"/>
    <w:rsid w:val="00600C5B"/>
    <w:rsid w:val="00613AB0"/>
    <w:rsid w:val="00636EAF"/>
    <w:rsid w:val="006638EC"/>
    <w:rsid w:val="006700C4"/>
    <w:rsid w:val="00670DD2"/>
    <w:rsid w:val="006763EA"/>
    <w:rsid w:val="00676B76"/>
    <w:rsid w:val="00695B91"/>
    <w:rsid w:val="0069714A"/>
    <w:rsid w:val="006B3A8D"/>
    <w:rsid w:val="006B5A2F"/>
    <w:rsid w:val="006C1002"/>
    <w:rsid w:val="006F2427"/>
    <w:rsid w:val="006F2D00"/>
    <w:rsid w:val="006F5E5A"/>
    <w:rsid w:val="0070343E"/>
    <w:rsid w:val="00710107"/>
    <w:rsid w:val="007103D9"/>
    <w:rsid w:val="00713C0E"/>
    <w:rsid w:val="00716D21"/>
    <w:rsid w:val="00732327"/>
    <w:rsid w:val="007356CC"/>
    <w:rsid w:val="00742377"/>
    <w:rsid w:val="00743371"/>
    <w:rsid w:val="007548FE"/>
    <w:rsid w:val="007572E1"/>
    <w:rsid w:val="00760EF1"/>
    <w:rsid w:val="00767713"/>
    <w:rsid w:val="007826DA"/>
    <w:rsid w:val="007834D2"/>
    <w:rsid w:val="00783FA8"/>
    <w:rsid w:val="007856F5"/>
    <w:rsid w:val="00785EF1"/>
    <w:rsid w:val="007A1012"/>
    <w:rsid w:val="007A608C"/>
    <w:rsid w:val="007D44BE"/>
    <w:rsid w:val="007D4DF4"/>
    <w:rsid w:val="007F42A8"/>
    <w:rsid w:val="007F54BE"/>
    <w:rsid w:val="008023E6"/>
    <w:rsid w:val="00807F77"/>
    <w:rsid w:val="00823CA3"/>
    <w:rsid w:val="00825444"/>
    <w:rsid w:val="00843F76"/>
    <w:rsid w:val="008608F2"/>
    <w:rsid w:val="00866479"/>
    <w:rsid w:val="00880DA6"/>
    <w:rsid w:val="00886CF3"/>
    <w:rsid w:val="00892791"/>
    <w:rsid w:val="008A3BD1"/>
    <w:rsid w:val="008B0105"/>
    <w:rsid w:val="008B2839"/>
    <w:rsid w:val="008D7328"/>
    <w:rsid w:val="008E02DB"/>
    <w:rsid w:val="008E5A19"/>
    <w:rsid w:val="008F1962"/>
    <w:rsid w:val="009040BE"/>
    <w:rsid w:val="009054D9"/>
    <w:rsid w:val="00914EB2"/>
    <w:rsid w:val="009158AA"/>
    <w:rsid w:val="009158EF"/>
    <w:rsid w:val="00924223"/>
    <w:rsid w:val="009331F0"/>
    <w:rsid w:val="00933F85"/>
    <w:rsid w:val="00940776"/>
    <w:rsid w:val="00940B01"/>
    <w:rsid w:val="0095766B"/>
    <w:rsid w:val="00964A8A"/>
    <w:rsid w:val="0096734F"/>
    <w:rsid w:val="00992238"/>
    <w:rsid w:val="00994EAE"/>
    <w:rsid w:val="009A4C5D"/>
    <w:rsid w:val="009C1D47"/>
    <w:rsid w:val="009E3284"/>
    <w:rsid w:val="00A01237"/>
    <w:rsid w:val="00A0780E"/>
    <w:rsid w:val="00A2393C"/>
    <w:rsid w:val="00A37E84"/>
    <w:rsid w:val="00A422F5"/>
    <w:rsid w:val="00A5377B"/>
    <w:rsid w:val="00A61E06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6D62"/>
    <w:rsid w:val="00AA0213"/>
    <w:rsid w:val="00AA075C"/>
    <w:rsid w:val="00AA1A36"/>
    <w:rsid w:val="00AA2E88"/>
    <w:rsid w:val="00AA6D90"/>
    <w:rsid w:val="00AB1F9E"/>
    <w:rsid w:val="00AB7147"/>
    <w:rsid w:val="00AB7F5E"/>
    <w:rsid w:val="00AC2B77"/>
    <w:rsid w:val="00AC43D2"/>
    <w:rsid w:val="00AD0AA0"/>
    <w:rsid w:val="00AD6804"/>
    <w:rsid w:val="00AE3FF8"/>
    <w:rsid w:val="00AE447B"/>
    <w:rsid w:val="00AF7EE6"/>
    <w:rsid w:val="00B15D83"/>
    <w:rsid w:val="00B21AEB"/>
    <w:rsid w:val="00B30E43"/>
    <w:rsid w:val="00B36F86"/>
    <w:rsid w:val="00B43857"/>
    <w:rsid w:val="00B46A3E"/>
    <w:rsid w:val="00B7398C"/>
    <w:rsid w:val="00B807B4"/>
    <w:rsid w:val="00B854BD"/>
    <w:rsid w:val="00B860EE"/>
    <w:rsid w:val="00BA7581"/>
    <w:rsid w:val="00BC396D"/>
    <w:rsid w:val="00BE7EEA"/>
    <w:rsid w:val="00C21385"/>
    <w:rsid w:val="00C269A1"/>
    <w:rsid w:val="00C27282"/>
    <w:rsid w:val="00C275C9"/>
    <w:rsid w:val="00C375FB"/>
    <w:rsid w:val="00C37CC2"/>
    <w:rsid w:val="00C37DA6"/>
    <w:rsid w:val="00C750A6"/>
    <w:rsid w:val="00C755B0"/>
    <w:rsid w:val="00C770DF"/>
    <w:rsid w:val="00C83433"/>
    <w:rsid w:val="00C93645"/>
    <w:rsid w:val="00C97D4F"/>
    <w:rsid w:val="00CB1CDD"/>
    <w:rsid w:val="00CC0E4D"/>
    <w:rsid w:val="00CD04AA"/>
    <w:rsid w:val="00CE069A"/>
    <w:rsid w:val="00CE18A6"/>
    <w:rsid w:val="00CE32C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F3259"/>
    <w:rsid w:val="00E07B56"/>
    <w:rsid w:val="00E122FC"/>
    <w:rsid w:val="00E17A77"/>
    <w:rsid w:val="00E22688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A4791"/>
    <w:rsid w:val="00EA5F91"/>
    <w:rsid w:val="00EA7EB0"/>
    <w:rsid w:val="00ED6ED2"/>
    <w:rsid w:val="00ED7E7F"/>
    <w:rsid w:val="00EF08D9"/>
    <w:rsid w:val="00F05582"/>
    <w:rsid w:val="00F06D36"/>
    <w:rsid w:val="00F1419F"/>
    <w:rsid w:val="00F2610D"/>
    <w:rsid w:val="00F40102"/>
    <w:rsid w:val="00F47F9A"/>
    <w:rsid w:val="00F54DB2"/>
    <w:rsid w:val="00F629EF"/>
    <w:rsid w:val="00F75C3C"/>
    <w:rsid w:val="00F8367E"/>
    <w:rsid w:val="00F87712"/>
    <w:rsid w:val="00F94B76"/>
    <w:rsid w:val="00FA3418"/>
    <w:rsid w:val="00FB06CD"/>
    <w:rsid w:val="00FB08AF"/>
    <w:rsid w:val="00FB5330"/>
    <w:rsid w:val="00FC2133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link w:val="BodyText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rsid w:val="002677EF"/>
    <w:rPr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6C1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1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0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83F"/>
    <w:rPr>
      <w:rFonts w:cs="Times New Roman"/>
    </w:rPr>
  </w:style>
  <w:style w:type="table" w:styleId="TableGrid">
    <w:name w:val="Table Grid"/>
    <w:basedOn w:val="TableNormal"/>
    <w:uiPriority w:val="99"/>
    <w:rsid w:val="00A81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1653</TotalTime>
  <Pages>5</Pages>
  <Words>1323</Words>
  <Characters>7545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165</cp:revision>
  <cp:lastPrinted>2017-06-15T06:12:00Z</cp:lastPrinted>
  <dcterms:created xsi:type="dcterms:W3CDTF">2015-05-06T06:06:00Z</dcterms:created>
  <dcterms:modified xsi:type="dcterms:W3CDTF">2018-07-11T11:20:00Z</dcterms:modified>
</cp:coreProperties>
</file>